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1" w:rsidRPr="000500BA" w:rsidRDefault="00BC1721" w:rsidP="00BC17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З СОЛЬФЕДЖІО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</w:p>
    <w:p w:rsidR="00BC1721" w:rsidRPr="000500BA" w:rsidRDefault="00BC1721" w:rsidP="00BC17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0500BA">
        <w:rPr>
          <w:b/>
          <w:sz w:val="28"/>
          <w:szCs w:val="28"/>
          <w:lang w:val="uk-UA"/>
        </w:rPr>
        <w:t xml:space="preserve"> курс, спеціалізація «Теорія музики»</w:t>
      </w:r>
    </w:p>
    <w:p w:rsidR="00BC1721" w:rsidRPr="000500BA" w:rsidRDefault="00BC1721" w:rsidP="00BC17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зимова  сесія 2017 – 2018</w:t>
      </w:r>
      <w:r w:rsidRPr="000500BA">
        <w:rPr>
          <w:b/>
          <w:sz w:val="28"/>
          <w:szCs w:val="28"/>
          <w:lang w:val="uk-UA"/>
        </w:rPr>
        <w:t xml:space="preserve"> н. р.</w:t>
      </w:r>
    </w:p>
    <w:p w:rsidR="00BC1721" w:rsidRPr="001F7D12" w:rsidRDefault="00BC1721" w:rsidP="00BC17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00BA">
        <w:rPr>
          <w:b/>
          <w:sz w:val="28"/>
          <w:szCs w:val="28"/>
          <w:lang w:val="uk-UA"/>
        </w:rPr>
        <w:t xml:space="preserve">викладач </w:t>
      </w:r>
      <w:r w:rsidRPr="000500BA">
        <w:rPr>
          <w:b/>
          <w:i/>
          <w:sz w:val="28"/>
          <w:szCs w:val="28"/>
          <w:lang w:val="uk-UA"/>
        </w:rPr>
        <w:t>Мойсеєнко Н. С.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Інтонування.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Звукоряди ладів народної музики (складніші варіанти роботи), хроматичні гами у </w:t>
      </w:r>
      <w:proofErr w:type="spellStart"/>
      <w:r>
        <w:rPr>
          <w:sz w:val="28"/>
          <w:szCs w:val="28"/>
          <w:lang w:val="uk-UA"/>
        </w:rPr>
        <w:t>триголоссі</w:t>
      </w:r>
      <w:proofErr w:type="spellEnd"/>
      <w:r>
        <w:rPr>
          <w:sz w:val="28"/>
          <w:szCs w:val="28"/>
          <w:lang w:val="uk-UA"/>
        </w:rPr>
        <w:t xml:space="preserve"> до 2 знаків.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Робота над мелізмами.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Повторення  хроматичних інтервалів у тональностях до 2 знаків.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Повторення усіх видів септакордів вгору, вниз та по заданому тону.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Гармонічні послідовності із використанням акордів </w:t>
      </w:r>
      <w:proofErr w:type="spellStart"/>
      <w:r>
        <w:rPr>
          <w:sz w:val="28"/>
          <w:szCs w:val="28"/>
          <w:lang w:val="uk-UA"/>
        </w:rPr>
        <w:t>мажоро-мінору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міноро-мажору</w:t>
      </w:r>
      <w:proofErr w:type="spellEnd"/>
      <w:r>
        <w:rPr>
          <w:sz w:val="28"/>
          <w:szCs w:val="28"/>
          <w:lang w:val="uk-UA"/>
        </w:rPr>
        <w:t xml:space="preserve"> у тональностях до 2 знаків:</w:t>
      </w:r>
    </w:p>
    <w:p w:rsidR="00BC1721" w:rsidRPr="005B29EB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5B29EB">
        <w:rPr>
          <w:sz w:val="28"/>
          <w:szCs w:val="28"/>
          <w:lang w:val="uk-UA"/>
        </w:rPr>
        <w:t xml:space="preserve"> – </w:t>
      </w:r>
      <w:r w:rsidRPr="00187873">
        <w:rPr>
          <w:sz w:val="28"/>
          <w:szCs w:val="28"/>
          <w:lang w:val="en-US"/>
        </w:rPr>
        <w:t>D</w:t>
      </w:r>
      <w:r w:rsidRPr="00F269F1">
        <w:rPr>
          <w:sz w:val="28"/>
          <w:szCs w:val="28"/>
          <w:vertAlign w:val="subscript"/>
          <w:lang w:val="uk-UA"/>
        </w:rPr>
        <w:t>7</w:t>
      </w:r>
      <w:r w:rsidRPr="00F269F1">
        <w:rPr>
          <w:sz w:val="28"/>
          <w:szCs w:val="28"/>
          <w:lang w:val="uk-UA"/>
        </w:rPr>
        <w:t xml:space="preserve"> – </w:t>
      </w:r>
      <w:r w:rsidRPr="00187873">
        <w:rPr>
          <w:sz w:val="28"/>
          <w:szCs w:val="28"/>
          <w:lang w:val="en-US"/>
        </w:rPr>
        <w:t>VI</w:t>
      </w:r>
      <w:r>
        <w:rPr>
          <w:sz w:val="28"/>
          <w:szCs w:val="28"/>
          <w:vertAlign w:val="superscript"/>
          <w:lang w:val="uk-UA"/>
        </w:rPr>
        <w:t>Ь</w:t>
      </w:r>
      <w:r w:rsidRPr="005B29E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vertAlign w:val="superscript"/>
          <w:lang w:val="uk-UA"/>
        </w:rPr>
        <w:t>Г.</w:t>
      </w:r>
      <w:r>
        <w:rPr>
          <w:sz w:val="28"/>
          <w:szCs w:val="28"/>
          <w:lang w:val="uk-UA"/>
        </w:rPr>
        <w:t xml:space="preserve"> – </w:t>
      </w:r>
      <w:r w:rsidRPr="005B2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 w:rsidRPr="005B29EB">
        <w:rPr>
          <w:sz w:val="28"/>
          <w:szCs w:val="28"/>
          <w:vertAlign w:val="subscript"/>
          <w:lang w:val="uk-UA"/>
        </w:rPr>
        <w:t>6\5</w:t>
      </w:r>
      <w:r>
        <w:rPr>
          <w:sz w:val="28"/>
          <w:szCs w:val="28"/>
          <w:vertAlign w:val="superscript"/>
          <w:lang w:val="uk-UA"/>
        </w:rPr>
        <w:t>Г.</w:t>
      </w:r>
      <w:r w:rsidRPr="005B29E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</w:t>
      </w:r>
      <w:r w:rsidRPr="005B2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;   Т</w:t>
      </w:r>
      <w:r w:rsidRPr="005B29E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perscript"/>
          <w:lang w:val="uk-UA"/>
        </w:rPr>
        <w:t>Ь</w:t>
      </w:r>
      <w:r w:rsidRPr="005B29EB">
        <w:rPr>
          <w:sz w:val="28"/>
          <w:szCs w:val="28"/>
          <w:lang w:val="uk-UA"/>
        </w:rPr>
        <w:t xml:space="preserve"> |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vertAlign w:val="superscript"/>
          <w:lang w:val="uk-UA"/>
        </w:rPr>
        <w:t>Ь</w:t>
      </w:r>
      <w:r w:rsidRPr="005B29E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vertAlign w:val="superscript"/>
          <w:lang w:val="uk-UA"/>
        </w:rPr>
        <w:t>Ь</w:t>
      </w:r>
      <w:r w:rsidRPr="005B29EB">
        <w:rPr>
          <w:sz w:val="28"/>
          <w:szCs w:val="28"/>
          <w:lang w:val="uk-UA"/>
        </w:rPr>
        <w:t xml:space="preserve"> |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vertAlign w:val="superscript"/>
          <w:lang w:val="uk-UA"/>
        </w:rPr>
        <w:t>Ь</w:t>
      </w:r>
      <w:r w:rsidRPr="005B29E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vertAlign w:val="superscript"/>
          <w:lang w:val="uk-UA"/>
        </w:rPr>
        <w:t>Г.</w:t>
      </w:r>
      <w:r w:rsidRPr="005B2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B2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 w:rsidRPr="005B29EB">
        <w:rPr>
          <w:sz w:val="28"/>
          <w:szCs w:val="28"/>
          <w:vertAlign w:val="subscript"/>
          <w:lang w:val="uk-UA"/>
        </w:rPr>
        <w:t>6\5</w:t>
      </w:r>
      <w:r>
        <w:rPr>
          <w:sz w:val="28"/>
          <w:szCs w:val="28"/>
          <w:vertAlign w:val="superscript"/>
          <w:lang w:val="uk-UA"/>
        </w:rPr>
        <w:t>Г.</w:t>
      </w:r>
      <w:r w:rsidRPr="005B29EB">
        <w:rPr>
          <w:sz w:val="28"/>
          <w:szCs w:val="28"/>
          <w:lang w:val="uk-UA"/>
        </w:rPr>
        <w:t xml:space="preserve"> | </w:t>
      </w:r>
      <w:r>
        <w:rPr>
          <w:sz w:val="28"/>
          <w:szCs w:val="28"/>
          <w:lang w:val="en-US"/>
        </w:rPr>
        <w:t>T</w:t>
      </w:r>
      <w:r w:rsidRPr="005B29EB">
        <w:rPr>
          <w:sz w:val="28"/>
          <w:szCs w:val="28"/>
          <w:lang w:val="uk-UA"/>
        </w:rPr>
        <w:t xml:space="preserve"> ||</w:t>
      </w:r>
    </w:p>
    <w:p w:rsidR="00BC1721" w:rsidRPr="00E85C28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D0594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 w:rsidRPr="00F269F1">
        <w:rPr>
          <w:sz w:val="28"/>
          <w:szCs w:val="28"/>
          <w:lang w:val="uk-UA"/>
        </w:rPr>
        <w:t xml:space="preserve"> – </w:t>
      </w:r>
      <w:r w:rsidRPr="00F269F1">
        <w:rPr>
          <w:sz w:val="28"/>
          <w:szCs w:val="28"/>
          <w:lang w:val="en-US"/>
        </w:rPr>
        <w:t>III</w:t>
      </w:r>
      <w:r w:rsidRPr="00F269F1">
        <w:rPr>
          <w:sz w:val="28"/>
          <w:szCs w:val="28"/>
          <w:vertAlign w:val="superscript"/>
          <w:lang w:val="uk-UA"/>
        </w:rPr>
        <w:t>#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;</w:t>
      </w:r>
      <w:r w:rsidRPr="00F269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t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 w:rsidRPr="00F269F1">
        <w:rPr>
          <w:sz w:val="28"/>
          <w:szCs w:val="28"/>
          <w:vertAlign w:val="subscript"/>
          <w:lang w:val="uk-UA"/>
        </w:rPr>
        <w:t>2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F269F1">
        <w:rPr>
          <w:sz w:val="28"/>
          <w:szCs w:val="28"/>
          <w:vertAlign w:val="superscript"/>
          <w:lang w:val="uk-UA"/>
        </w:rPr>
        <w:t>#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VI</w:t>
      </w:r>
      <w:r w:rsidRPr="00F269F1">
        <w:rPr>
          <w:sz w:val="28"/>
          <w:szCs w:val="28"/>
          <w:vertAlign w:val="subscript"/>
          <w:lang w:val="uk-UA"/>
        </w:rPr>
        <w:t>6</w:t>
      </w:r>
      <w:r w:rsidRPr="00F269F1">
        <w:rPr>
          <w:sz w:val="28"/>
          <w:szCs w:val="28"/>
          <w:vertAlign w:val="superscript"/>
          <w:lang w:val="uk-UA"/>
        </w:rPr>
        <w:t>#</w:t>
      </w:r>
      <w:r w:rsidRPr="00F2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2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 w:rsidRPr="00F269F1">
        <w:rPr>
          <w:sz w:val="28"/>
          <w:szCs w:val="28"/>
          <w:vertAlign w:val="subscript"/>
          <w:lang w:val="uk-UA"/>
        </w:rPr>
        <w:t>2</w:t>
      </w:r>
      <w:r w:rsidRPr="00F2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2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 w:rsidRPr="00F269F1">
        <w:rPr>
          <w:sz w:val="28"/>
          <w:szCs w:val="28"/>
          <w:vertAlign w:val="subscript"/>
          <w:lang w:val="uk-UA"/>
        </w:rPr>
        <w:t>6\5</w:t>
      </w:r>
      <w:r w:rsidRPr="00F269F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;</w:t>
      </w:r>
      <w:r w:rsidRPr="002424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t</w:t>
      </w:r>
      <w:r w:rsidRPr="0024242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vertAlign w:val="superscript"/>
          <w:lang w:val="uk-UA"/>
        </w:rPr>
        <w:t>мін.</w:t>
      </w:r>
      <w:r w:rsidRPr="0024242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.</w:t>
      </w:r>
      <w:r w:rsidRPr="00F2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6. Модуляції у далекі тональності – поступові, прискорені через </w:t>
      </w:r>
      <w:proofErr w:type="spellStart"/>
      <w:r>
        <w:rPr>
          <w:sz w:val="28"/>
          <w:szCs w:val="28"/>
          <w:lang w:val="uk-UA"/>
        </w:rPr>
        <w:t>мін.s</w:t>
      </w:r>
      <w:proofErr w:type="spellEnd"/>
      <w:r>
        <w:rPr>
          <w:sz w:val="28"/>
          <w:szCs w:val="28"/>
          <w:lang w:val="uk-UA"/>
        </w:rPr>
        <w:t xml:space="preserve"> або маж. D, VI</w:t>
      </w:r>
      <w:r>
        <w:rPr>
          <w:sz w:val="28"/>
          <w:szCs w:val="28"/>
          <w:vertAlign w:val="superscript"/>
          <w:lang w:val="uk-UA"/>
        </w:rPr>
        <w:t>Ь</w:t>
      </w:r>
      <w:r>
        <w:rPr>
          <w:sz w:val="28"/>
          <w:szCs w:val="28"/>
          <w:lang w:val="uk-UA"/>
        </w:rPr>
        <w:t>, ІІ</w:t>
      </w:r>
      <w:r>
        <w:rPr>
          <w:sz w:val="28"/>
          <w:szCs w:val="28"/>
          <w:vertAlign w:val="superscript"/>
          <w:lang w:val="uk-UA"/>
        </w:rPr>
        <w:t>Ь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en-US"/>
        </w:rPr>
        <w:t>G</w:t>
      </w:r>
      <w:r w:rsidRPr="0024242F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en-US"/>
        </w:rPr>
        <w:t>Es</w:t>
      </w:r>
      <w:r w:rsidRPr="0024242F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B</w:t>
      </w:r>
      <w:r w:rsidRPr="0024242F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en-US"/>
        </w:rPr>
        <w:t>D</w:t>
      </w:r>
      <w:r w:rsidRPr="0024242F">
        <w:rPr>
          <w:b/>
          <w:sz w:val="28"/>
          <w:szCs w:val="28"/>
          <w:lang w:val="uk-UA"/>
        </w:rPr>
        <w:t>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Сольфеджування вправ.</w:t>
      </w:r>
    </w:p>
    <w:p w:rsidR="00BC1721" w:rsidRDefault="00BC1721" w:rsidP="00BC172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i/>
          <w:sz w:val="28"/>
          <w:szCs w:val="28"/>
          <w:lang w:val="uk-UA"/>
        </w:rPr>
        <w:t xml:space="preserve">одноголосся – </w:t>
      </w:r>
      <w:proofErr w:type="spellStart"/>
      <w:r>
        <w:rPr>
          <w:sz w:val="28"/>
          <w:szCs w:val="28"/>
          <w:lang w:val="uk-UA"/>
        </w:rPr>
        <w:t>Драгоми</w:t>
      </w:r>
      <w:proofErr w:type="spellEnd"/>
      <w:r>
        <w:rPr>
          <w:sz w:val="28"/>
          <w:szCs w:val="28"/>
        </w:rPr>
        <w:t>ров П. Учебник  сольфеджио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М., 1965 - </w:t>
      </w:r>
      <w:r>
        <w:rPr>
          <w:b/>
          <w:sz w:val="28"/>
          <w:szCs w:val="28"/>
        </w:rPr>
        <w:t>№№ 208 – 212; 217 – 221; 231 – 235; 239 – 253.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Островский А., Соловьев С., </w:t>
      </w:r>
      <w:proofErr w:type="spellStart"/>
      <w:r>
        <w:rPr>
          <w:sz w:val="28"/>
          <w:szCs w:val="28"/>
        </w:rPr>
        <w:t>Шокин</w:t>
      </w:r>
      <w:proofErr w:type="spellEnd"/>
      <w:r>
        <w:rPr>
          <w:sz w:val="28"/>
          <w:szCs w:val="28"/>
        </w:rPr>
        <w:t xml:space="preserve"> В. Сольфеджио.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 – М., 1977 - </w:t>
      </w:r>
      <w:r>
        <w:rPr>
          <w:b/>
          <w:sz w:val="28"/>
          <w:szCs w:val="28"/>
        </w:rPr>
        <w:t>№№ 135 – 159.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двоголосся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триголосся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Способин</w:t>
      </w:r>
      <w:proofErr w:type="spellEnd"/>
      <w:r>
        <w:rPr>
          <w:sz w:val="28"/>
          <w:szCs w:val="28"/>
        </w:rPr>
        <w:t xml:space="preserve"> И. Сольфеджио. – М., 1982 – </w:t>
      </w:r>
      <w:r>
        <w:rPr>
          <w:sz w:val="28"/>
          <w:szCs w:val="28"/>
          <w:lang w:val="uk-UA"/>
        </w:rPr>
        <w:t xml:space="preserve">двоголосся - </w:t>
      </w:r>
      <w:r>
        <w:rPr>
          <w:b/>
          <w:sz w:val="28"/>
          <w:szCs w:val="28"/>
          <w:lang w:val="uk-UA"/>
        </w:rPr>
        <w:t>№№61 – 70;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триголосся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№№126 – 130.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3.Поліфонічне </w:t>
      </w:r>
      <w:proofErr w:type="spellStart"/>
      <w:r>
        <w:rPr>
          <w:sz w:val="28"/>
          <w:szCs w:val="28"/>
          <w:lang w:val="uk-UA"/>
        </w:rPr>
        <w:t>триголосся</w:t>
      </w:r>
      <w:proofErr w:type="spellEnd"/>
      <w:r>
        <w:rPr>
          <w:sz w:val="28"/>
          <w:szCs w:val="28"/>
          <w:lang w:val="uk-UA"/>
        </w:rPr>
        <w:t xml:space="preserve">: Й.С. Бах. Триголоса </w:t>
      </w:r>
      <w:proofErr w:type="spellStart"/>
      <w:r>
        <w:rPr>
          <w:sz w:val="28"/>
          <w:szCs w:val="28"/>
          <w:lang w:val="uk-UA"/>
        </w:rPr>
        <w:t>інвенція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C</w:t>
      </w:r>
      <w:r w:rsidRPr="0074099E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74099E">
        <w:rPr>
          <w:sz w:val="28"/>
          <w:szCs w:val="28"/>
          <w:lang w:val="uk-UA"/>
        </w:rPr>
        <w:t>;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</w:t>
      </w:r>
      <w:r w:rsidRPr="0074099E">
        <w:rPr>
          <w:sz w:val="28"/>
          <w:szCs w:val="28"/>
          <w:lang w:val="uk-UA"/>
        </w:rPr>
        <w:t>оманс або н</w:t>
      </w:r>
      <w:r>
        <w:rPr>
          <w:sz w:val="28"/>
          <w:szCs w:val="28"/>
          <w:lang w:val="uk-UA"/>
        </w:rPr>
        <w:t>а</w:t>
      </w:r>
      <w:r w:rsidRPr="0074099E">
        <w:rPr>
          <w:sz w:val="28"/>
          <w:szCs w:val="28"/>
          <w:lang w:val="uk-UA"/>
        </w:rPr>
        <w:t>родна пісня із</w:t>
      </w:r>
      <w:r>
        <w:rPr>
          <w:sz w:val="28"/>
          <w:szCs w:val="28"/>
          <w:lang w:val="uk-UA"/>
        </w:rPr>
        <w:t xml:space="preserve"> </w:t>
      </w:r>
      <w:r w:rsidRPr="0074099E">
        <w:rPr>
          <w:sz w:val="28"/>
          <w:szCs w:val="28"/>
          <w:lang w:val="uk-UA"/>
        </w:rPr>
        <w:t>власним супроводом</w:t>
      </w:r>
      <w:r>
        <w:rPr>
          <w:sz w:val="28"/>
          <w:szCs w:val="28"/>
          <w:lang w:val="uk-UA"/>
        </w:rPr>
        <w:t>.</w:t>
      </w:r>
    </w:p>
    <w:p w:rsidR="00BC1721" w:rsidRDefault="00BC1721" w:rsidP="00BC1721">
      <w:pPr>
        <w:spacing w:line="360" w:lineRule="auto"/>
        <w:jc w:val="both"/>
        <w:rPr>
          <w:sz w:val="28"/>
          <w:szCs w:val="28"/>
          <w:lang w:val="uk-UA"/>
        </w:rPr>
      </w:pPr>
    </w:p>
    <w:p w:rsidR="0093777D" w:rsidRPr="00BC1721" w:rsidRDefault="0093777D">
      <w:pPr>
        <w:rPr>
          <w:lang w:val="uk-UA"/>
        </w:rPr>
      </w:pPr>
    </w:p>
    <w:sectPr w:rsidR="0093777D" w:rsidRPr="00BC1721" w:rsidSect="009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21"/>
    <w:rsid w:val="0093777D"/>
    <w:rsid w:val="00B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2017-06-23T20:08:00Z</dcterms:created>
  <dcterms:modified xsi:type="dcterms:W3CDTF">2017-06-23T20:09:00Z</dcterms:modified>
</cp:coreProperties>
</file>